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0D" w:rsidRPr="00B1150D" w:rsidRDefault="00B1150D" w:rsidP="00B1150D">
      <w:pPr>
        <w:jc w:val="center"/>
        <w:rPr>
          <w:b/>
          <w:sz w:val="32"/>
          <w:szCs w:val="32"/>
        </w:rPr>
      </w:pPr>
    </w:p>
    <w:p w:rsidR="00B1150D" w:rsidRPr="00B1150D" w:rsidRDefault="00B1150D" w:rsidP="00B1150D">
      <w:pPr>
        <w:jc w:val="center"/>
        <w:rPr>
          <w:b/>
          <w:sz w:val="32"/>
          <w:szCs w:val="32"/>
        </w:rPr>
      </w:pPr>
      <w:r w:rsidRPr="00B1150D">
        <w:rPr>
          <w:b/>
          <w:sz w:val="32"/>
          <w:szCs w:val="32"/>
        </w:rPr>
        <w:t>ARTICULO 15</w:t>
      </w:r>
    </w:p>
    <w:p w:rsidR="00B1150D" w:rsidRDefault="00B1150D"/>
    <w:p w:rsidR="00B1150D" w:rsidRDefault="00B1150D"/>
    <w:p w:rsidR="00B1150D" w:rsidRDefault="00B1150D"/>
    <w:p w:rsidR="005B7BDC" w:rsidRPr="00B1150D" w:rsidRDefault="00B1150D">
      <w:pPr>
        <w:rPr>
          <w:sz w:val="28"/>
          <w:szCs w:val="28"/>
        </w:rPr>
      </w:pPr>
      <w:r w:rsidRPr="00B1150D">
        <w:rPr>
          <w:sz w:val="28"/>
          <w:szCs w:val="28"/>
        </w:rPr>
        <w:t xml:space="preserve">Artículo 15.- La Jefatura de Cultura y Ciudadanía tendrá las siguientes facultades y obligaciones: I. Promover la participación de los jóvenes como promotores de la cultura y las artes. II. Promover el desarrollo artístico entre los jóvenes a través de concursos y certámenes. III. Implementar estrategias para combatir de manera efectiva el </w:t>
      </w:r>
      <w:proofErr w:type="spellStart"/>
      <w:r w:rsidRPr="00B1150D">
        <w:rPr>
          <w:sz w:val="28"/>
          <w:szCs w:val="28"/>
        </w:rPr>
        <w:t>graffiti</w:t>
      </w:r>
      <w:proofErr w:type="spellEnd"/>
      <w:r w:rsidRPr="00B1150D">
        <w:rPr>
          <w:sz w:val="28"/>
          <w:szCs w:val="28"/>
        </w:rPr>
        <w:t xml:space="preserve"> entre los jóvenes. IV. Promover en conjunto con voluntarios la creación de murales y asignar espacios propicios para dicha actividad. V. Contar con un catálogo de los servicios del Instituto. VI. Atender y dar seguimiento a las peticiones ciudadanas. VII. Llevar un registro de las peticiones ciudadanas y un sistema de eficiencia y calidad en la respuesta al ciudadano. VIII. Las demás que asigne la Dirección General y la Coordinación Operativa.</w:t>
      </w:r>
      <w:bookmarkStart w:id="0" w:name="_GoBack"/>
      <w:bookmarkEnd w:id="0"/>
    </w:p>
    <w:sectPr w:rsidR="005B7BDC" w:rsidRPr="00B1150D" w:rsidSect="00533E35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0D"/>
    <w:rsid w:val="00533E35"/>
    <w:rsid w:val="005B7BDC"/>
    <w:rsid w:val="00B1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9B0F6-9ACF-4805-8B61-E9DB2328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Saca Dabdoub</dc:creator>
  <cp:keywords/>
  <dc:description/>
  <cp:lastModifiedBy>Linda Saca Dabdoub</cp:lastModifiedBy>
  <cp:revision>1</cp:revision>
  <dcterms:created xsi:type="dcterms:W3CDTF">2018-06-07T22:02:00Z</dcterms:created>
  <dcterms:modified xsi:type="dcterms:W3CDTF">2018-06-07T22:03:00Z</dcterms:modified>
</cp:coreProperties>
</file>